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C503D" w14:textId="7B70D4AB" w:rsidR="00C71449" w:rsidRPr="003D1BC7" w:rsidRDefault="003D1BC7" w:rsidP="003467A5">
      <w:pPr>
        <w:spacing w:after="0"/>
        <w:ind w:right="-330"/>
        <w:jc w:val="center"/>
        <w:rPr>
          <w:b/>
          <w:bCs/>
          <w:color w:val="1F3864" w:themeColor="accent1" w:themeShade="80"/>
          <w:sz w:val="28"/>
          <w:szCs w:val="28"/>
        </w:rPr>
      </w:pPr>
      <w:r>
        <w:rPr>
          <w:b/>
          <w:bCs/>
          <w:color w:val="1F3864" w:themeColor="accent1" w:themeShade="80"/>
          <w:sz w:val="28"/>
          <w:szCs w:val="28"/>
        </w:rPr>
        <w:t xml:space="preserve">(draft) </w:t>
      </w:r>
      <w:r w:rsidR="00C71449" w:rsidRPr="003D1BC7">
        <w:rPr>
          <w:b/>
          <w:bCs/>
          <w:color w:val="1F3864" w:themeColor="accent1" w:themeShade="80"/>
          <w:sz w:val="28"/>
          <w:szCs w:val="28"/>
        </w:rPr>
        <w:t>POLICY STATEMENT ON HEALTH EQUITY</w:t>
      </w:r>
    </w:p>
    <w:p w14:paraId="6E4F327D" w14:textId="77777777" w:rsidR="00C71449" w:rsidRPr="00EF60BD" w:rsidRDefault="00C71449" w:rsidP="003467A5">
      <w:pPr>
        <w:spacing w:after="0"/>
        <w:ind w:right="-330"/>
        <w:jc w:val="center"/>
        <w:rPr>
          <w:sz w:val="16"/>
          <w:szCs w:val="16"/>
        </w:rPr>
      </w:pPr>
    </w:p>
    <w:p w14:paraId="6F50C8D6" w14:textId="02182DF1" w:rsidR="00C71449" w:rsidRDefault="001043FA" w:rsidP="003467A5">
      <w:pPr>
        <w:ind w:right="-330"/>
        <w:rPr>
          <w:sz w:val="24"/>
          <w:szCs w:val="24"/>
        </w:rPr>
      </w:pPr>
      <w:r w:rsidRPr="001043FA">
        <w:rPr>
          <w:sz w:val="24"/>
          <w:szCs w:val="24"/>
        </w:rPr>
        <w:drawing>
          <wp:inline distT="0" distB="0" distL="0" distR="0" wp14:anchorId="74A71EEF" wp14:editId="4A5AB35B">
            <wp:extent cx="1187511" cy="1181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7511" cy="1181161"/>
                    </a:xfrm>
                    <a:prstGeom prst="rect">
                      <a:avLst/>
                    </a:prstGeom>
                  </pic:spPr>
                </pic:pic>
              </a:graphicData>
            </a:graphic>
          </wp:inline>
        </w:drawing>
      </w:r>
    </w:p>
    <w:p w14:paraId="6D64C812" w14:textId="77777777" w:rsidR="00C71449" w:rsidRPr="00EF60BD" w:rsidRDefault="00C71449" w:rsidP="003467A5">
      <w:pPr>
        <w:spacing w:after="0" w:line="276" w:lineRule="auto"/>
        <w:ind w:right="-330"/>
      </w:pPr>
      <w:r w:rsidRPr="00EF60BD">
        <w:t>Endorsed:</w:t>
      </w:r>
    </w:p>
    <w:p w14:paraId="4E5C5B91" w14:textId="77777777" w:rsidR="00C71449" w:rsidRDefault="00C71449" w:rsidP="003467A5">
      <w:pPr>
        <w:spacing w:after="0" w:line="276" w:lineRule="auto"/>
        <w:ind w:right="-330"/>
      </w:pPr>
      <w:r w:rsidRPr="00EF60BD">
        <w:t>Date:</w:t>
      </w:r>
    </w:p>
    <w:p w14:paraId="44DD49FD" w14:textId="77777777" w:rsidR="00C71449" w:rsidRPr="003467A5" w:rsidRDefault="00C71449" w:rsidP="003467A5">
      <w:pPr>
        <w:spacing w:after="0" w:line="276" w:lineRule="auto"/>
        <w:ind w:right="-330"/>
        <w:rPr>
          <w:rFonts w:cstheme="minorHAnsi"/>
          <w:color w:val="262626"/>
          <w:sz w:val="16"/>
          <w:szCs w:val="16"/>
          <w:shd w:val="clear" w:color="auto" w:fill="FFFFFF"/>
        </w:rPr>
      </w:pPr>
    </w:p>
    <w:p w14:paraId="176C1151" w14:textId="26561120" w:rsidR="00B529F8" w:rsidRDefault="00902E44" w:rsidP="003467A5">
      <w:pPr>
        <w:spacing w:after="0" w:line="276" w:lineRule="auto"/>
        <w:ind w:right="-330"/>
        <w:rPr>
          <w:rFonts w:cstheme="minorHAnsi"/>
          <w:color w:val="262626"/>
          <w:shd w:val="clear" w:color="auto" w:fill="FFFFFF"/>
        </w:rPr>
      </w:pPr>
      <w:r>
        <w:rPr>
          <w:rFonts w:cstheme="minorHAnsi"/>
          <w:color w:val="262626"/>
          <w:shd w:val="clear" w:color="auto" w:fill="FFFFFF"/>
        </w:rPr>
        <w:t>The World Health Organisation</w:t>
      </w:r>
      <w:r w:rsidR="00B529F8">
        <w:rPr>
          <w:rFonts w:cstheme="minorHAnsi"/>
          <w:color w:val="262626"/>
          <w:shd w:val="clear" w:color="auto" w:fill="FFFFFF"/>
        </w:rPr>
        <w:t xml:space="preserve"> (WHO)</w:t>
      </w:r>
      <w:r>
        <w:rPr>
          <w:rFonts w:cstheme="minorHAnsi"/>
          <w:color w:val="262626"/>
          <w:shd w:val="clear" w:color="auto" w:fill="FFFFFF"/>
        </w:rPr>
        <w:t xml:space="preserve"> define</w:t>
      </w:r>
      <w:r w:rsidR="00EE04CB">
        <w:rPr>
          <w:rFonts w:cstheme="minorHAnsi"/>
          <w:color w:val="262626"/>
          <w:shd w:val="clear" w:color="auto" w:fill="FFFFFF"/>
        </w:rPr>
        <w:t>s</w:t>
      </w:r>
      <w:r>
        <w:rPr>
          <w:rFonts w:cstheme="minorHAnsi"/>
          <w:color w:val="262626"/>
          <w:shd w:val="clear" w:color="auto" w:fill="FFFFFF"/>
        </w:rPr>
        <w:t xml:space="preserve"> ‘equity’ as the absence of unfair, avoidable, or remediable differences among </w:t>
      </w:r>
      <w:r w:rsidR="00FA43E7">
        <w:rPr>
          <w:rFonts w:cstheme="minorHAnsi"/>
          <w:color w:val="262626"/>
          <w:shd w:val="clear" w:color="auto" w:fill="FFFFFF"/>
        </w:rPr>
        <w:t xml:space="preserve">individuals or </w:t>
      </w:r>
      <w:r>
        <w:rPr>
          <w:rFonts w:cstheme="minorHAnsi"/>
          <w:color w:val="262626"/>
          <w:shd w:val="clear" w:color="auto" w:fill="FFFFFF"/>
        </w:rPr>
        <w:t>groups of people</w:t>
      </w:r>
      <w:r w:rsidR="00EE04CB">
        <w:rPr>
          <w:rFonts w:cstheme="minorHAnsi"/>
          <w:color w:val="262626"/>
          <w:shd w:val="clear" w:color="auto" w:fill="FFFFFF"/>
        </w:rPr>
        <w:t>.</w:t>
      </w:r>
      <w:r>
        <w:rPr>
          <w:rStyle w:val="FootnoteReference"/>
          <w:rFonts w:cstheme="minorHAnsi"/>
          <w:color w:val="262626"/>
          <w:shd w:val="clear" w:color="auto" w:fill="FFFFFF"/>
        </w:rPr>
        <w:footnoteReference w:id="1"/>
      </w:r>
      <w:r w:rsidR="00674B57">
        <w:rPr>
          <w:rFonts w:cstheme="minorHAnsi"/>
          <w:color w:val="262626"/>
          <w:shd w:val="clear" w:color="auto" w:fill="FFFFFF"/>
        </w:rPr>
        <w:t xml:space="preserve"> These differences may be social, economic, demographic, geographic, or other dimensions such as gender, ethnicity, disability</w:t>
      </w:r>
      <w:r w:rsidR="00D01AD1">
        <w:rPr>
          <w:rFonts w:cstheme="minorHAnsi"/>
          <w:color w:val="262626"/>
          <w:shd w:val="clear" w:color="auto" w:fill="FFFFFF"/>
        </w:rPr>
        <w:t xml:space="preserve"> (congenital or acquired)</w:t>
      </w:r>
      <w:r w:rsidR="00674B57">
        <w:rPr>
          <w:rFonts w:cstheme="minorHAnsi"/>
          <w:color w:val="262626"/>
          <w:shd w:val="clear" w:color="auto" w:fill="FFFFFF"/>
        </w:rPr>
        <w:t>, or age</w:t>
      </w:r>
      <w:r w:rsidR="00C15F5F">
        <w:rPr>
          <w:rFonts w:cstheme="minorHAnsi"/>
          <w:color w:val="262626"/>
          <w:shd w:val="clear" w:color="auto" w:fill="FFFFFF"/>
        </w:rPr>
        <w:t>. The d</w:t>
      </w:r>
      <w:r w:rsidR="00D51E2E">
        <w:rPr>
          <w:rFonts w:cstheme="minorHAnsi"/>
          <w:color w:val="262626"/>
          <w:shd w:val="clear" w:color="auto" w:fill="FFFFFF"/>
        </w:rPr>
        <w:t xml:space="preserve">ifferences </w:t>
      </w:r>
      <w:r w:rsidR="00E423BB">
        <w:rPr>
          <w:rFonts w:cstheme="minorHAnsi"/>
          <w:color w:val="262626"/>
          <w:shd w:val="clear" w:color="auto" w:fill="FFFFFF"/>
        </w:rPr>
        <w:t>may be exacerbated by discrimination, stereotyping and prejudice.</w:t>
      </w:r>
    </w:p>
    <w:p w14:paraId="297710AC" w14:textId="77777777" w:rsidR="00905DA7" w:rsidRPr="00CE0447" w:rsidRDefault="00905DA7" w:rsidP="003467A5">
      <w:pPr>
        <w:spacing w:after="0" w:line="276" w:lineRule="auto"/>
        <w:ind w:right="-330"/>
        <w:rPr>
          <w:rFonts w:cstheme="minorHAnsi"/>
          <w:color w:val="262626"/>
          <w:sz w:val="16"/>
          <w:szCs w:val="16"/>
          <w:shd w:val="clear" w:color="auto" w:fill="FFFFFF"/>
        </w:rPr>
      </w:pPr>
    </w:p>
    <w:p w14:paraId="12C3986F" w14:textId="144C8997" w:rsidR="009A2B73" w:rsidRPr="00713413" w:rsidRDefault="00FA43E7" w:rsidP="003467A5">
      <w:pPr>
        <w:spacing w:after="0" w:line="276" w:lineRule="auto"/>
        <w:ind w:right="-330"/>
        <w:rPr>
          <w:rFonts w:cstheme="minorHAnsi"/>
          <w:color w:val="474747"/>
          <w:shd w:val="clear" w:color="auto" w:fill="FFFFFF"/>
        </w:rPr>
      </w:pPr>
      <w:r>
        <w:rPr>
          <w:rFonts w:cstheme="minorHAnsi"/>
          <w:color w:val="262626"/>
          <w:shd w:val="clear" w:color="auto" w:fill="FFFFFF"/>
        </w:rPr>
        <w:t>Equity is not the same as equality</w:t>
      </w:r>
      <w:r w:rsidR="00975DFC">
        <w:rPr>
          <w:rFonts w:cstheme="minorHAnsi"/>
          <w:color w:val="262626"/>
          <w:shd w:val="clear" w:color="auto" w:fill="FFFFFF"/>
        </w:rPr>
        <w:t>, and equality of access is not the same as equitable access.</w:t>
      </w:r>
      <w:r>
        <w:rPr>
          <w:rFonts w:cstheme="minorHAnsi"/>
          <w:color w:val="262626"/>
          <w:shd w:val="clear" w:color="auto" w:fill="FFFFFF"/>
        </w:rPr>
        <w:t xml:space="preserve"> Those with the greatest need and fewest resources require more, not equal, effort and resources to equalise opportunities.</w:t>
      </w:r>
      <w:r>
        <w:rPr>
          <w:rStyle w:val="FootnoteReference"/>
          <w:rFonts w:cstheme="minorHAnsi"/>
          <w:color w:val="262626"/>
          <w:shd w:val="clear" w:color="auto" w:fill="FFFFFF"/>
        </w:rPr>
        <w:footnoteReference w:id="2"/>
      </w:r>
      <w:r>
        <w:rPr>
          <w:rFonts w:cstheme="minorHAnsi"/>
          <w:color w:val="262626"/>
          <w:shd w:val="clear" w:color="auto" w:fill="FFFFFF"/>
        </w:rPr>
        <w:t xml:space="preserve"> </w:t>
      </w:r>
      <w:r w:rsidR="006804E7" w:rsidRPr="00713413">
        <w:rPr>
          <w:rFonts w:cstheme="minorHAnsi"/>
          <w:color w:val="474747"/>
          <w:shd w:val="clear" w:color="auto" w:fill="FFFFFF"/>
        </w:rPr>
        <w:t xml:space="preserve">Equality means that the law and government treats everyone the same, irrespective of </w:t>
      </w:r>
      <w:r w:rsidR="00CA0BA6">
        <w:rPr>
          <w:rFonts w:cstheme="minorHAnsi"/>
          <w:color w:val="474747"/>
          <w:shd w:val="clear" w:color="auto" w:fill="FFFFFF"/>
        </w:rPr>
        <w:t>who they are or where they live</w:t>
      </w:r>
      <w:r w:rsidR="006804E7" w:rsidRPr="00713413">
        <w:rPr>
          <w:rFonts w:cstheme="minorHAnsi"/>
          <w:color w:val="474747"/>
          <w:shd w:val="clear" w:color="auto" w:fill="FFFFFF"/>
        </w:rPr>
        <w:t>.</w:t>
      </w:r>
      <w:r w:rsidR="009A2B73">
        <w:rPr>
          <w:rFonts w:cstheme="minorHAnsi"/>
          <w:color w:val="474747"/>
          <w:shd w:val="clear" w:color="auto" w:fill="FFFFFF"/>
        </w:rPr>
        <w:t xml:space="preserve"> </w:t>
      </w:r>
      <w:r w:rsidR="005761D4">
        <w:rPr>
          <w:rFonts w:cstheme="minorHAnsi"/>
          <w:color w:val="474747"/>
          <w:shd w:val="clear" w:color="auto" w:fill="FFFFFF"/>
        </w:rPr>
        <w:t>E</w:t>
      </w:r>
      <w:r w:rsidR="009A2B73" w:rsidRPr="00713413">
        <w:rPr>
          <w:rFonts w:cstheme="minorHAnsi"/>
          <w:color w:val="474747"/>
          <w:shd w:val="clear" w:color="auto" w:fill="FFFFFF"/>
        </w:rPr>
        <w:t>quity</w:t>
      </w:r>
      <w:r w:rsidR="005761D4">
        <w:rPr>
          <w:rFonts w:cstheme="minorHAnsi"/>
          <w:color w:val="474747"/>
          <w:shd w:val="clear" w:color="auto" w:fill="FFFFFF"/>
        </w:rPr>
        <w:t xml:space="preserve"> </w:t>
      </w:r>
      <w:r w:rsidR="009A2B73" w:rsidRPr="00713413">
        <w:rPr>
          <w:rFonts w:cstheme="minorHAnsi"/>
          <w:color w:val="474747"/>
          <w:shd w:val="clear" w:color="auto" w:fill="FFFFFF"/>
        </w:rPr>
        <w:t>means that, in some circumstances, people need to be treated differently in order to provide meaningful equality of opportunity</w:t>
      </w:r>
      <w:r w:rsidR="005761D4">
        <w:rPr>
          <w:rFonts w:cstheme="minorHAnsi"/>
          <w:color w:val="474747"/>
          <w:shd w:val="clear" w:color="auto" w:fill="FFFFFF"/>
        </w:rPr>
        <w:t xml:space="preserve"> and access</w:t>
      </w:r>
      <w:r w:rsidR="009A2B73" w:rsidRPr="00713413">
        <w:rPr>
          <w:rFonts w:cstheme="minorHAnsi"/>
          <w:color w:val="474747"/>
          <w:shd w:val="clear" w:color="auto" w:fill="FFFFFF"/>
        </w:rPr>
        <w:t>.</w:t>
      </w:r>
      <w:r w:rsidR="009A2B73">
        <w:rPr>
          <w:rStyle w:val="FootnoteReference"/>
          <w:rFonts w:cstheme="minorHAnsi"/>
          <w:color w:val="262626"/>
          <w:shd w:val="clear" w:color="auto" w:fill="FFFFFF"/>
        </w:rPr>
        <w:footnoteReference w:id="3"/>
      </w:r>
    </w:p>
    <w:p w14:paraId="637ADDC2" w14:textId="77777777" w:rsidR="005761D4" w:rsidRPr="00337F76" w:rsidRDefault="005761D4" w:rsidP="003467A5">
      <w:pPr>
        <w:spacing w:after="0" w:line="276" w:lineRule="auto"/>
        <w:ind w:right="-330"/>
        <w:rPr>
          <w:rFonts w:cstheme="minorHAnsi"/>
          <w:color w:val="262626"/>
          <w:sz w:val="16"/>
          <w:szCs w:val="16"/>
          <w:shd w:val="clear" w:color="auto" w:fill="FFFFFF"/>
        </w:rPr>
      </w:pPr>
    </w:p>
    <w:p w14:paraId="116AAE37" w14:textId="0A1033FA" w:rsidR="006D0027" w:rsidRPr="00574F25" w:rsidRDefault="00541382" w:rsidP="003467A5">
      <w:pPr>
        <w:spacing w:after="0" w:line="276" w:lineRule="auto"/>
        <w:ind w:right="-330"/>
        <w:rPr>
          <w:rFonts w:cstheme="minorHAnsi"/>
          <w:color w:val="3C4245"/>
        </w:rPr>
      </w:pPr>
      <w:r>
        <w:rPr>
          <w:rFonts w:cstheme="minorHAnsi"/>
          <w:color w:val="262626"/>
          <w:shd w:val="clear" w:color="auto" w:fill="FFFFFF"/>
        </w:rPr>
        <w:t>The WHO maintains that</w:t>
      </w:r>
      <w:r w:rsidR="009A2B73">
        <w:rPr>
          <w:rFonts w:cstheme="minorHAnsi"/>
          <w:color w:val="262626"/>
          <w:shd w:val="clear" w:color="auto" w:fill="FFFFFF"/>
        </w:rPr>
        <w:t xml:space="preserve"> health and health equity are determined by the conditions in which people are born, grow, live, work, play, and age; as well as biological determinants.</w:t>
      </w:r>
      <w:r w:rsidR="00CE0447">
        <w:rPr>
          <w:rFonts w:cstheme="minorHAnsi"/>
          <w:color w:val="262626"/>
          <w:shd w:val="clear" w:color="auto" w:fill="FFFFFF"/>
        </w:rPr>
        <w:t xml:space="preserve"> </w:t>
      </w:r>
      <w:r w:rsidR="00574F25" w:rsidRPr="00574F25">
        <w:rPr>
          <w:rFonts w:cstheme="minorHAnsi"/>
          <w:color w:val="3C4245"/>
        </w:rPr>
        <w:t xml:space="preserve">Structural determinants - political, legal, economic, and social - shape the distribution of power and resources. </w:t>
      </w:r>
      <w:r w:rsidR="005761D4" w:rsidRPr="00574F25">
        <w:rPr>
          <w:rFonts w:cstheme="minorHAnsi"/>
          <w:color w:val="3C4245"/>
        </w:rPr>
        <w:t xml:space="preserve">Discriminatory practices are often embedded in institutional systems and processes, leading to </w:t>
      </w:r>
      <w:r w:rsidR="00EF26E5" w:rsidRPr="00574F25">
        <w:rPr>
          <w:rFonts w:cstheme="minorHAnsi"/>
          <w:color w:val="3C4245"/>
        </w:rPr>
        <w:t xml:space="preserve">individuals and </w:t>
      </w:r>
      <w:r w:rsidR="005761D4" w:rsidRPr="00574F25">
        <w:rPr>
          <w:rFonts w:cstheme="minorHAnsi"/>
          <w:color w:val="3C4245"/>
        </w:rPr>
        <w:t xml:space="preserve">groups </w:t>
      </w:r>
      <w:r w:rsidR="00CE0447">
        <w:rPr>
          <w:rFonts w:cstheme="minorHAnsi"/>
          <w:color w:val="3C4245"/>
        </w:rPr>
        <w:t xml:space="preserve">being </w:t>
      </w:r>
      <w:r w:rsidR="00EF26E5" w:rsidRPr="00574F25">
        <w:rPr>
          <w:rFonts w:cstheme="minorHAnsi"/>
          <w:color w:val="3C4245"/>
        </w:rPr>
        <w:t xml:space="preserve">underserved and </w:t>
      </w:r>
      <w:r w:rsidR="005761D4" w:rsidRPr="00574F25">
        <w:rPr>
          <w:rFonts w:cstheme="minorHAnsi"/>
          <w:color w:val="3C4245"/>
        </w:rPr>
        <w:t>under-represented in decision-making at all levels.</w:t>
      </w:r>
    </w:p>
    <w:p w14:paraId="76A54803" w14:textId="77777777" w:rsidR="00337F76" w:rsidRPr="00337F76" w:rsidRDefault="00337F76" w:rsidP="003467A5">
      <w:pPr>
        <w:spacing w:after="0" w:line="276" w:lineRule="auto"/>
        <w:ind w:right="-330"/>
        <w:rPr>
          <w:rFonts w:cstheme="minorHAnsi"/>
          <w:color w:val="262626"/>
          <w:sz w:val="16"/>
          <w:szCs w:val="16"/>
          <w:shd w:val="clear" w:color="auto" w:fill="FFFFFF"/>
        </w:rPr>
      </w:pPr>
    </w:p>
    <w:p w14:paraId="44F235D8" w14:textId="57C7623C" w:rsidR="00574F25" w:rsidRDefault="00574F25" w:rsidP="003467A5">
      <w:pPr>
        <w:spacing w:after="0" w:line="276" w:lineRule="auto"/>
        <w:ind w:right="-330"/>
        <w:rPr>
          <w:rFonts w:cstheme="minorHAnsi"/>
          <w:color w:val="262626"/>
          <w:shd w:val="clear" w:color="auto" w:fill="FFFFFF"/>
        </w:rPr>
      </w:pPr>
      <w:r>
        <w:rPr>
          <w:rFonts w:cstheme="minorHAnsi"/>
          <w:color w:val="262626"/>
          <w:shd w:val="clear" w:color="auto" w:fill="FFFFFF"/>
        </w:rPr>
        <w:t>‘Health equity is achieved when everyone can attain their full potential for health and wellbeing’; where everyone has a fair and just opportunity to attain their optimal health regardless of gender, ethnicity, disability, age, socioeconomic status, geography, preferred language, or any other factors that affect access to care.</w:t>
      </w:r>
    </w:p>
    <w:p w14:paraId="4BF3D4BF" w14:textId="77777777" w:rsidR="00337F76" w:rsidRPr="00337F76" w:rsidRDefault="00337F76" w:rsidP="003467A5">
      <w:pPr>
        <w:spacing w:after="0" w:line="276" w:lineRule="auto"/>
        <w:ind w:right="-330"/>
        <w:rPr>
          <w:rFonts w:cstheme="minorHAnsi"/>
          <w:color w:val="262626"/>
          <w:sz w:val="16"/>
          <w:szCs w:val="16"/>
          <w:shd w:val="clear" w:color="auto" w:fill="FFFFFF"/>
        </w:rPr>
      </w:pPr>
    </w:p>
    <w:p w14:paraId="1B087DBB" w14:textId="5A79E981" w:rsidR="00574F25" w:rsidRDefault="00574F25" w:rsidP="003467A5">
      <w:pPr>
        <w:spacing w:after="0" w:line="276" w:lineRule="auto"/>
        <w:ind w:right="-330"/>
        <w:rPr>
          <w:rFonts w:cstheme="minorHAnsi"/>
          <w:color w:val="262626"/>
          <w:shd w:val="clear" w:color="auto" w:fill="FFFFFF"/>
        </w:rPr>
      </w:pPr>
      <w:r>
        <w:rPr>
          <w:rFonts w:cstheme="minorHAnsi"/>
          <w:color w:val="262626"/>
          <w:shd w:val="clear" w:color="auto" w:fill="FFFFFF"/>
        </w:rPr>
        <w:t>Achieving health equity means systematically identifying and eliminating inequities</w:t>
      </w:r>
      <w:r w:rsidR="00CC0332">
        <w:rPr>
          <w:rFonts w:cstheme="minorHAnsi"/>
          <w:color w:val="262626"/>
          <w:shd w:val="clear" w:color="auto" w:fill="FFFFFF"/>
        </w:rPr>
        <w:t xml:space="preserve"> that result from the vastly different circumstances and experiences of individuals and communities, particularly as many of these differences relate to circumstances and experiences  over which individuals or communities have no, or little, power to influence or change.</w:t>
      </w:r>
      <w:r w:rsidR="00CE0447">
        <w:rPr>
          <w:rFonts w:cstheme="minorHAnsi"/>
          <w:color w:val="262626"/>
          <w:shd w:val="clear" w:color="auto" w:fill="FFFFFF"/>
        </w:rPr>
        <w:t xml:space="preserve"> </w:t>
      </w:r>
      <w:r w:rsidR="00CC0332">
        <w:rPr>
          <w:rFonts w:cstheme="minorHAnsi"/>
          <w:color w:val="262626"/>
          <w:shd w:val="clear" w:color="auto" w:fill="FFFFFF"/>
        </w:rPr>
        <w:t xml:space="preserve">Achieving health equity means </w:t>
      </w:r>
      <w:r w:rsidR="00337F76">
        <w:rPr>
          <w:rFonts w:cstheme="minorHAnsi"/>
          <w:color w:val="262626"/>
          <w:shd w:val="clear" w:color="auto" w:fill="FFFFFF"/>
        </w:rPr>
        <w:t xml:space="preserve">progressively </w:t>
      </w:r>
      <w:r>
        <w:rPr>
          <w:rFonts w:cstheme="minorHAnsi"/>
          <w:color w:val="262626"/>
          <w:shd w:val="clear" w:color="auto" w:fill="FFFFFF"/>
        </w:rPr>
        <w:t xml:space="preserve">adapting policies and services to meet individual needs, </w:t>
      </w:r>
      <w:r w:rsidR="00CE0447">
        <w:rPr>
          <w:rFonts w:cstheme="minorHAnsi"/>
          <w:color w:val="262626"/>
          <w:shd w:val="clear" w:color="auto" w:fill="FFFFFF"/>
        </w:rPr>
        <w:t xml:space="preserve">and </w:t>
      </w:r>
      <w:r>
        <w:rPr>
          <w:rFonts w:cstheme="minorHAnsi"/>
          <w:color w:val="262626"/>
          <w:shd w:val="clear" w:color="auto" w:fill="FFFFFF"/>
        </w:rPr>
        <w:t>reducing unnecessary and avoidable differences that are unfair and unjust</w:t>
      </w:r>
      <w:r w:rsidR="00337F76">
        <w:rPr>
          <w:rFonts w:cstheme="minorHAnsi"/>
          <w:color w:val="262626"/>
          <w:shd w:val="clear" w:color="auto" w:fill="FFFFFF"/>
        </w:rPr>
        <w:t>.</w:t>
      </w:r>
    </w:p>
    <w:p w14:paraId="07965B59" w14:textId="6E195491" w:rsidR="000A48FC" w:rsidRDefault="00B055C2" w:rsidP="003467A5">
      <w:pPr>
        <w:shd w:val="clear" w:color="auto" w:fill="FFFFFF"/>
        <w:spacing w:after="0"/>
        <w:ind w:right="-330"/>
        <w:rPr>
          <w:rFonts w:cstheme="minorHAnsi"/>
        </w:rPr>
      </w:pPr>
      <w:r w:rsidRPr="00C02852">
        <w:rPr>
          <w:rFonts w:cstheme="minorHAnsi"/>
          <w:shd w:val="clear" w:color="auto" w:fill="FFFFFF"/>
        </w:rPr>
        <w:lastRenderedPageBreak/>
        <w:t xml:space="preserve">The </w:t>
      </w:r>
      <w:r w:rsidRPr="00C02852">
        <w:rPr>
          <w:rFonts w:cstheme="minorHAnsi"/>
        </w:rPr>
        <w:t xml:space="preserve">CNMF </w:t>
      </w:r>
      <w:r w:rsidR="00405083">
        <w:rPr>
          <w:rFonts w:cstheme="minorHAnsi"/>
        </w:rPr>
        <w:t>urges</w:t>
      </w:r>
      <w:r w:rsidR="000A48FC">
        <w:rPr>
          <w:rFonts w:cstheme="minorHAnsi"/>
        </w:rPr>
        <w:t xml:space="preserve"> all</w:t>
      </w:r>
      <w:r>
        <w:rPr>
          <w:rFonts w:cstheme="minorHAnsi"/>
        </w:rPr>
        <w:t xml:space="preserve"> </w:t>
      </w:r>
      <w:r w:rsidR="002B00CA">
        <w:rPr>
          <w:rFonts w:cstheme="minorHAnsi"/>
        </w:rPr>
        <w:t>nurses and midwives</w:t>
      </w:r>
      <w:r>
        <w:rPr>
          <w:rFonts w:cstheme="minorHAnsi"/>
        </w:rPr>
        <w:t xml:space="preserve"> to</w:t>
      </w:r>
      <w:r w:rsidR="000A48FC">
        <w:rPr>
          <w:rFonts w:cstheme="minorHAnsi"/>
        </w:rPr>
        <w:t>:</w:t>
      </w:r>
    </w:p>
    <w:p w14:paraId="2E4D16B0" w14:textId="77777777" w:rsidR="000A48FC" w:rsidRDefault="000A48FC" w:rsidP="003467A5">
      <w:pPr>
        <w:shd w:val="clear" w:color="auto" w:fill="FFFFFF"/>
        <w:spacing w:after="0"/>
        <w:ind w:right="-330"/>
        <w:rPr>
          <w:rFonts w:cstheme="minorHAnsi"/>
        </w:rPr>
      </w:pPr>
    </w:p>
    <w:p w14:paraId="2D07BA10" w14:textId="604CFD3A" w:rsidR="00E062C8" w:rsidRDefault="002B00CA" w:rsidP="003467A5">
      <w:pPr>
        <w:numPr>
          <w:ilvl w:val="0"/>
          <w:numId w:val="1"/>
        </w:numPr>
        <w:shd w:val="clear" w:color="auto" w:fill="FFFFFF"/>
        <w:spacing w:after="120"/>
        <w:ind w:right="-330"/>
        <w:rPr>
          <w:rFonts w:cstheme="minorHAnsi"/>
        </w:rPr>
      </w:pPr>
      <w:r>
        <w:rPr>
          <w:rFonts w:cstheme="minorHAnsi"/>
        </w:rPr>
        <w:t xml:space="preserve">Be alert to, identify, and raise awareness </w:t>
      </w:r>
      <w:r w:rsidR="00D06866">
        <w:rPr>
          <w:rFonts w:cstheme="minorHAnsi"/>
        </w:rPr>
        <w:t>about</w:t>
      </w:r>
      <w:r>
        <w:rPr>
          <w:rFonts w:cstheme="minorHAnsi"/>
        </w:rPr>
        <w:t xml:space="preserve"> health inequities in their own workplace</w:t>
      </w:r>
      <w:r w:rsidR="00E062C8">
        <w:rPr>
          <w:rFonts w:cstheme="minorHAnsi"/>
        </w:rPr>
        <w:t>s.</w:t>
      </w:r>
    </w:p>
    <w:p w14:paraId="2B465804" w14:textId="28560C73" w:rsidR="00B055C2" w:rsidRDefault="00E062C8" w:rsidP="003467A5">
      <w:pPr>
        <w:numPr>
          <w:ilvl w:val="0"/>
          <w:numId w:val="1"/>
        </w:numPr>
        <w:shd w:val="clear" w:color="auto" w:fill="FFFFFF"/>
        <w:spacing w:after="120"/>
        <w:ind w:right="-330"/>
        <w:rPr>
          <w:rFonts w:cstheme="minorHAnsi"/>
        </w:rPr>
      </w:pPr>
      <w:r>
        <w:rPr>
          <w:rFonts w:cstheme="minorHAnsi"/>
        </w:rPr>
        <w:t>W</w:t>
      </w:r>
      <w:r w:rsidR="003D1796">
        <w:rPr>
          <w:rFonts w:cstheme="minorHAnsi"/>
        </w:rPr>
        <w:t xml:space="preserve">ork to </w:t>
      </w:r>
      <w:r>
        <w:rPr>
          <w:rFonts w:cstheme="minorHAnsi"/>
        </w:rPr>
        <w:t>remediate</w:t>
      </w:r>
      <w:r w:rsidR="003D1796">
        <w:rPr>
          <w:rFonts w:cstheme="minorHAnsi"/>
        </w:rPr>
        <w:t xml:space="preserve"> inequities</w:t>
      </w:r>
      <w:r>
        <w:rPr>
          <w:rFonts w:cstheme="minorHAnsi"/>
        </w:rPr>
        <w:t xml:space="preserve"> which are remediable</w:t>
      </w:r>
      <w:r w:rsidR="00D06866">
        <w:rPr>
          <w:rFonts w:cstheme="minorHAnsi"/>
        </w:rPr>
        <w:t xml:space="preserve"> or avoidable;</w:t>
      </w:r>
      <w:r>
        <w:rPr>
          <w:rFonts w:cstheme="minorHAnsi"/>
        </w:rPr>
        <w:t xml:space="preserve"> </w:t>
      </w:r>
      <w:r w:rsidR="00D06866">
        <w:rPr>
          <w:rFonts w:cstheme="minorHAnsi"/>
        </w:rPr>
        <w:t>and</w:t>
      </w:r>
      <w:r>
        <w:rPr>
          <w:rFonts w:cstheme="minorHAnsi"/>
        </w:rPr>
        <w:t xml:space="preserve"> to eliminate those </w:t>
      </w:r>
      <w:r w:rsidR="003D1796">
        <w:rPr>
          <w:rFonts w:cstheme="minorHAnsi"/>
        </w:rPr>
        <w:t>which are unfair or unjust</w:t>
      </w:r>
      <w:r>
        <w:rPr>
          <w:rFonts w:cstheme="minorHAnsi"/>
        </w:rPr>
        <w:t>.</w:t>
      </w:r>
    </w:p>
    <w:p w14:paraId="6C7CCCC1" w14:textId="35024383" w:rsidR="00583163" w:rsidRDefault="00583163" w:rsidP="003467A5">
      <w:pPr>
        <w:numPr>
          <w:ilvl w:val="0"/>
          <w:numId w:val="1"/>
        </w:numPr>
        <w:shd w:val="clear" w:color="auto" w:fill="FFFFFF"/>
        <w:spacing w:after="120"/>
        <w:ind w:right="-330"/>
        <w:rPr>
          <w:rFonts w:cstheme="minorHAnsi"/>
        </w:rPr>
      </w:pPr>
      <w:r>
        <w:rPr>
          <w:rFonts w:cstheme="minorHAnsi"/>
        </w:rPr>
        <w:t>Be a champion for health equity in their own workplaces and among their colleagues.</w:t>
      </w:r>
    </w:p>
    <w:p w14:paraId="0E23C55A" w14:textId="52F3C296" w:rsidR="00E062C8" w:rsidRDefault="00583163" w:rsidP="003467A5">
      <w:pPr>
        <w:numPr>
          <w:ilvl w:val="0"/>
          <w:numId w:val="1"/>
        </w:numPr>
        <w:shd w:val="clear" w:color="auto" w:fill="FFFFFF"/>
        <w:spacing w:after="120"/>
        <w:ind w:right="-330"/>
        <w:rPr>
          <w:rFonts w:cstheme="minorHAnsi"/>
        </w:rPr>
      </w:pPr>
      <w:r>
        <w:rPr>
          <w:rFonts w:cstheme="minorHAnsi"/>
        </w:rPr>
        <w:t>Be an a</w:t>
      </w:r>
      <w:r w:rsidR="00E062C8">
        <w:rPr>
          <w:rFonts w:cstheme="minorHAnsi"/>
        </w:rPr>
        <w:t>dvocate f</w:t>
      </w:r>
      <w:r>
        <w:rPr>
          <w:rFonts w:cstheme="minorHAnsi"/>
        </w:rPr>
        <w:t>or those individuals or communities who experience health inequities.</w:t>
      </w:r>
    </w:p>
    <w:p w14:paraId="6A3373F1" w14:textId="5FA7046D" w:rsidR="00583163" w:rsidRPr="00C02852" w:rsidRDefault="00583163" w:rsidP="003467A5">
      <w:pPr>
        <w:numPr>
          <w:ilvl w:val="0"/>
          <w:numId w:val="1"/>
        </w:numPr>
        <w:shd w:val="clear" w:color="auto" w:fill="FFFFFF"/>
        <w:spacing w:after="120"/>
        <w:ind w:right="-330"/>
        <w:rPr>
          <w:rFonts w:cstheme="minorHAnsi"/>
        </w:rPr>
      </w:pPr>
      <w:r>
        <w:rPr>
          <w:rFonts w:cstheme="minorHAnsi"/>
        </w:rPr>
        <w:t xml:space="preserve">Lobby local authorities and governments for the </w:t>
      </w:r>
      <w:r w:rsidR="00D06866">
        <w:rPr>
          <w:rFonts w:cstheme="minorHAnsi"/>
        </w:rPr>
        <w:t>development</w:t>
      </w:r>
      <w:r>
        <w:rPr>
          <w:rFonts w:cstheme="minorHAnsi"/>
        </w:rPr>
        <w:t xml:space="preserve"> of </w:t>
      </w:r>
      <w:r w:rsidR="00D06866">
        <w:rPr>
          <w:rFonts w:cstheme="minorHAnsi"/>
        </w:rPr>
        <w:t xml:space="preserve">health equity policies, and the implementation of </w:t>
      </w:r>
      <w:r>
        <w:rPr>
          <w:rFonts w:cstheme="minorHAnsi"/>
        </w:rPr>
        <w:t>practical strategies to address identified health inequities.</w:t>
      </w:r>
    </w:p>
    <w:p w14:paraId="42A2169B" w14:textId="77777777" w:rsidR="00CE0447" w:rsidRDefault="00CE0447" w:rsidP="003467A5">
      <w:pPr>
        <w:spacing w:after="0" w:line="276" w:lineRule="auto"/>
        <w:ind w:right="-330"/>
        <w:rPr>
          <w:rFonts w:cstheme="minorHAnsi"/>
          <w:color w:val="262626"/>
          <w:shd w:val="clear" w:color="auto" w:fill="FFFFFF"/>
        </w:rPr>
      </w:pPr>
    </w:p>
    <w:p w14:paraId="16C34703" w14:textId="602AB4EE" w:rsidR="00905DA7" w:rsidRDefault="00905DA7" w:rsidP="003467A5">
      <w:pPr>
        <w:spacing w:after="0" w:line="276" w:lineRule="auto"/>
        <w:ind w:right="-330"/>
        <w:rPr>
          <w:rFonts w:cstheme="minorHAnsi"/>
          <w:color w:val="262626"/>
          <w:shd w:val="clear" w:color="auto" w:fill="FFFFFF"/>
        </w:rPr>
      </w:pPr>
    </w:p>
    <w:p w14:paraId="616BFF60" w14:textId="0730FBD1" w:rsidR="00583163" w:rsidRDefault="00583163" w:rsidP="003467A5">
      <w:pPr>
        <w:spacing w:after="0" w:line="276" w:lineRule="auto"/>
        <w:ind w:right="-330"/>
        <w:rPr>
          <w:rFonts w:cstheme="minorHAnsi"/>
          <w:color w:val="262626"/>
          <w:shd w:val="clear" w:color="auto" w:fill="FFFFFF"/>
        </w:rPr>
      </w:pPr>
    </w:p>
    <w:p w14:paraId="7D3930A7" w14:textId="151FF7CE" w:rsidR="00583163" w:rsidRDefault="00583163" w:rsidP="003467A5">
      <w:pPr>
        <w:spacing w:after="0" w:line="276" w:lineRule="auto"/>
        <w:ind w:right="-330"/>
        <w:jc w:val="center"/>
        <w:rPr>
          <w:rFonts w:cstheme="minorHAnsi"/>
          <w:color w:val="262626"/>
          <w:shd w:val="clear" w:color="auto" w:fill="FFFFFF"/>
        </w:rPr>
      </w:pPr>
      <w:r>
        <w:rPr>
          <w:rFonts w:cstheme="minorHAnsi"/>
          <w:color w:val="262626"/>
          <w:shd w:val="clear" w:color="auto" w:fill="FFFFFF"/>
        </w:rPr>
        <w:t>____________________</w:t>
      </w:r>
    </w:p>
    <w:sectPr w:rsidR="0058316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A1B5" w14:textId="77777777" w:rsidR="00725A16" w:rsidRDefault="00725A16" w:rsidP="00902E44">
      <w:pPr>
        <w:spacing w:after="0" w:line="240" w:lineRule="auto"/>
      </w:pPr>
      <w:r>
        <w:separator/>
      </w:r>
    </w:p>
  </w:endnote>
  <w:endnote w:type="continuationSeparator" w:id="0">
    <w:p w14:paraId="07F1888A" w14:textId="77777777" w:rsidR="00725A16" w:rsidRDefault="00725A16" w:rsidP="0090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65FC" w14:textId="77777777" w:rsidR="003D1BC7" w:rsidRDefault="003D1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F666" w14:textId="77777777" w:rsidR="003D1BC7" w:rsidRDefault="003D1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DD6B" w14:textId="77777777" w:rsidR="003D1BC7" w:rsidRDefault="003D1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7052" w14:textId="77777777" w:rsidR="00725A16" w:rsidRDefault="00725A16" w:rsidP="00902E44">
      <w:pPr>
        <w:spacing w:after="0" w:line="240" w:lineRule="auto"/>
      </w:pPr>
      <w:r>
        <w:separator/>
      </w:r>
    </w:p>
  </w:footnote>
  <w:footnote w:type="continuationSeparator" w:id="0">
    <w:p w14:paraId="7D553187" w14:textId="77777777" w:rsidR="00725A16" w:rsidRDefault="00725A16" w:rsidP="00902E44">
      <w:pPr>
        <w:spacing w:after="0" w:line="240" w:lineRule="auto"/>
      </w:pPr>
      <w:r>
        <w:continuationSeparator/>
      </w:r>
    </w:p>
  </w:footnote>
  <w:footnote w:id="1">
    <w:p w14:paraId="0E71184C" w14:textId="04FF5222" w:rsidR="00902E44" w:rsidRDefault="00902E44">
      <w:pPr>
        <w:pStyle w:val="FootnoteText"/>
      </w:pPr>
      <w:r w:rsidRPr="00713413">
        <w:rPr>
          <w:rStyle w:val="FootnoteReference"/>
        </w:rPr>
        <w:footnoteRef/>
      </w:r>
      <w:r w:rsidR="00713413" w:rsidRPr="00713413">
        <w:t xml:space="preserve"> </w:t>
      </w:r>
      <w:hyperlink r:id="rId1" w:history="1">
        <w:r w:rsidR="00713413" w:rsidRPr="00713413">
          <w:rPr>
            <w:rStyle w:val="Hyperlink"/>
            <w:rFonts w:cstheme="minorHAnsi"/>
            <w:color w:val="auto"/>
          </w:rPr>
          <w:t>https://www.who.int/health-topics/health-equity</w:t>
        </w:r>
      </w:hyperlink>
      <w:r w:rsidR="00713413" w:rsidRPr="00713413">
        <w:rPr>
          <w:rFonts w:cstheme="minorHAnsi"/>
        </w:rPr>
        <w:t xml:space="preserve"> </w:t>
      </w:r>
      <w:r w:rsidRPr="00713413">
        <w:t xml:space="preserve"> </w:t>
      </w:r>
    </w:p>
  </w:footnote>
  <w:footnote w:id="2">
    <w:p w14:paraId="2075631B" w14:textId="77777777" w:rsidR="00FA43E7" w:rsidRDefault="00FA43E7" w:rsidP="00FA43E7">
      <w:pPr>
        <w:pStyle w:val="FootnoteText"/>
      </w:pPr>
      <w:r>
        <w:rPr>
          <w:rStyle w:val="FootnoteReference"/>
        </w:rPr>
        <w:footnoteRef/>
      </w:r>
      <w:r w:rsidRPr="00C71449">
        <w:t xml:space="preserve"> Braveman, P., et al. 2018. </w:t>
      </w:r>
      <w:r w:rsidRPr="00C71449">
        <w:rPr>
          <w:i/>
          <w:iCs/>
        </w:rPr>
        <w:t xml:space="preserve">What is Health Equity? </w:t>
      </w:r>
      <w:r w:rsidRPr="00C71449">
        <w:t xml:space="preserve">Behavioural Science and Policy 4(1) pp.1-14 available from - </w:t>
      </w:r>
      <w:hyperlink r:id="rId2" w:history="1">
        <w:r w:rsidRPr="00C71449">
          <w:rPr>
            <w:rStyle w:val="Hyperlink"/>
            <w:color w:val="auto"/>
          </w:rPr>
          <w:t>https://behavioralpolicy.org/wp-content/uploads/2018/12/What-is-Health-Equity.pdf</w:t>
        </w:r>
      </w:hyperlink>
      <w:r>
        <w:t xml:space="preserve"> </w:t>
      </w:r>
    </w:p>
  </w:footnote>
  <w:footnote w:id="3">
    <w:p w14:paraId="5FB6660C" w14:textId="7123D942" w:rsidR="009A2B73" w:rsidRDefault="009A2B73" w:rsidP="009A2B73">
      <w:pPr>
        <w:pStyle w:val="FootnoteText"/>
      </w:pPr>
      <w:r>
        <w:rPr>
          <w:rStyle w:val="FootnoteReference"/>
        </w:rPr>
        <w:footnoteRef/>
      </w:r>
      <w:r>
        <w:t xml:space="preserve"> Equitable access is more than equal access. </w:t>
      </w:r>
      <w:r w:rsidR="003467A5">
        <w:t>For</w:t>
      </w:r>
      <w:r>
        <w:t xml:space="preserve"> example, </w:t>
      </w:r>
      <w:r>
        <w:rPr>
          <w:rFonts w:cstheme="minorHAnsi"/>
          <w:color w:val="333333"/>
          <w:spacing w:val="5"/>
          <w:shd w:val="clear" w:color="auto" w:fill="FFFFFF"/>
        </w:rPr>
        <w:t>t</w:t>
      </w:r>
      <w:r w:rsidRPr="008B2715">
        <w:rPr>
          <w:rFonts w:cstheme="minorHAnsi"/>
          <w:color w:val="333333"/>
          <w:spacing w:val="5"/>
          <w:shd w:val="clear" w:color="auto" w:fill="FFFFFF"/>
        </w:rPr>
        <w:t>hree people are standing behind a wooden fence wanting to see something on the other side. They all have equal access. However two people are tall and can see easily over the fence. Once person is small and cannot see over the fence. Equitable access is providing the means for the smaller person to see over the fence.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9DB1" w14:textId="77777777" w:rsidR="003D1BC7" w:rsidRDefault="003D1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06B0" w14:textId="77777777" w:rsidR="003D1BC7" w:rsidRDefault="003D1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A6E4" w14:textId="77777777" w:rsidR="003D1BC7" w:rsidRDefault="003D1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244B2"/>
    <w:multiLevelType w:val="hybridMultilevel"/>
    <w:tmpl w:val="9D52F5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7C"/>
    <w:rsid w:val="00063E46"/>
    <w:rsid w:val="000A48FC"/>
    <w:rsid w:val="001043FA"/>
    <w:rsid w:val="001328BA"/>
    <w:rsid w:val="00287604"/>
    <w:rsid w:val="002B00CA"/>
    <w:rsid w:val="002C5B3F"/>
    <w:rsid w:val="002E2DA2"/>
    <w:rsid w:val="00337F76"/>
    <w:rsid w:val="003467A5"/>
    <w:rsid w:val="00393995"/>
    <w:rsid w:val="003D1796"/>
    <w:rsid w:val="003D1BC7"/>
    <w:rsid w:val="003E087C"/>
    <w:rsid w:val="00405083"/>
    <w:rsid w:val="00441D32"/>
    <w:rsid w:val="004F0E4D"/>
    <w:rsid w:val="005213E2"/>
    <w:rsid w:val="00541382"/>
    <w:rsid w:val="00574F25"/>
    <w:rsid w:val="005761D4"/>
    <w:rsid w:val="00583163"/>
    <w:rsid w:val="00674B57"/>
    <w:rsid w:val="006804E7"/>
    <w:rsid w:val="006D0027"/>
    <w:rsid w:val="00713413"/>
    <w:rsid w:val="00725A16"/>
    <w:rsid w:val="00817D90"/>
    <w:rsid w:val="008B1B6B"/>
    <w:rsid w:val="008B2715"/>
    <w:rsid w:val="00902E44"/>
    <w:rsid w:val="00905DA7"/>
    <w:rsid w:val="00975DFC"/>
    <w:rsid w:val="009A2B73"/>
    <w:rsid w:val="00AB3855"/>
    <w:rsid w:val="00B055C2"/>
    <w:rsid w:val="00B529F8"/>
    <w:rsid w:val="00BB62EA"/>
    <w:rsid w:val="00BC2A0B"/>
    <w:rsid w:val="00BE0C97"/>
    <w:rsid w:val="00C15F5F"/>
    <w:rsid w:val="00C5670A"/>
    <w:rsid w:val="00C71449"/>
    <w:rsid w:val="00C72E3A"/>
    <w:rsid w:val="00C82F7B"/>
    <w:rsid w:val="00CA0BA6"/>
    <w:rsid w:val="00CB375D"/>
    <w:rsid w:val="00CB44BA"/>
    <w:rsid w:val="00CC0332"/>
    <w:rsid w:val="00CE0447"/>
    <w:rsid w:val="00D01AD1"/>
    <w:rsid w:val="00D06866"/>
    <w:rsid w:val="00D51E2E"/>
    <w:rsid w:val="00DD47A2"/>
    <w:rsid w:val="00E062C8"/>
    <w:rsid w:val="00E423BB"/>
    <w:rsid w:val="00E969CC"/>
    <w:rsid w:val="00EE04CB"/>
    <w:rsid w:val="00EF26E5"/>
    <w:rsid w:val="00F9262F"/>
    <w:rsid w:val="00FA4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C73D6"/>
  <w15:chartTrackingRefBased/>
  <w15:docId w15:val="{62CF8103-4342-458E-82D7-6B0E4F5D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02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6D0027"/>
    <w:rPr>
      <w:b/>
      <w:bCs/>
    </w:rPr>
  </w:style>
  <w:style w:type="character" w:styleId="Hyperlink">
    <w:name w:val="Hyperlink"/>
    <w:basedOn w:val="DefaultParagraphFont"/>
    <w:uiPriority w:val="99"/>
    <w:unhideWhenUsed/>
    <w:rsid w:val="006D0027"/>
    <w:rPr>
      <w:color w:val="0000FF"/>
      <w:u w:val="single"/>
    </w:rPr>
  </w:style>
  <w:style w:type="paragraph" w:styleId="FootnoteText">
    <w:name w:val="footnote text"/>
    <w:basedOn w:val="Normal"/>
    <w:link w:val="FootnoteTextChar"/>
    <w:uiPriority w:val="99"/>
    <w:semiHidden/>
    <w:unhideWhenUsed/>
    <w:rsid w:val="00902E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E44"/>
    <w:rPr>
      <w:sz w:val="20"/>
      <w:szCs w:val="20"/>
    </w:rPr>
  </w:style>
  <w:style w:type="character" w:styleId="FootnoteReference">
    <w:name w:val="footnote reference"/>
    <w:basedOn w:val="DefaultParagraphFont"/>
    <w:uiPriority w:val="99"/>
    <w:semiHidden/>
    <w:unhideWhenUsed/>
    <w:rsid w:val="00902E44"/>
    <w:rPr>
      <w:vertAlign w:val="superscript"/>
    </w:rPr>
  </w:style>
  <w:style w:type="character" w:styleId="UnresolvedMention">
    <w:name w:val="Unresolved Mention"/>
    <w:basedOn w:val="DefaultParagraphFont"/>
    <w:uiPriority w:val="99"/>
    <w:semiHidden/>
    <w:unhideWhenUsed/>
    <w:rsid w:val="00713413"/>
    <w:rPr>
      <w:color w:val="605E5C"/>
      <w:shd w:val="clear" w:color="auto" w:fill="E1DFDD"/>
    </w:rPr>
  </w:style>
  <w:style w:type="paragraph" w:styleId="Header">
    <w:name w:val="header"/>
    <w:basedOn w:val="Normal"/>
    <w:link w:val="HeaderChar"/>
    <w:uiPriority w:val="99"/>
    <w:unhideWhenUsed/>
    <w:rsid w:val="003D1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BC7"/>
  </w:style>
  <w:style w:type="paragraph" w:styleId="Footer">
    <w:name w:val="footer"/>
    <w:basedOn w:val="Normal"/>
    <w:link w:val="FooterChar"/>
    <w:uiPriority w:val="99"/>
    <w:unhideWhenUsed/>
    <w:rsid w:val="003D1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0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behavioralpolicy.org/wp-content/uploads/2018/12/What-is-Health-Equity.pdf" TargetMode="External"/><Relationship Id="rId1" Type="http://schemas.openxmlformats.org/officeDocument/2006/relationships/hyperlink" Target="https://www.who.int/health-topics/health-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4DB53-D437-4953-BFD8-C0CA57A2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Iliffe</dc:creator>
  <cp:keywords/>
  <dc:description/>
  <cp:lastModifiedBy>Jill Iliffe</cp:lastModifiedBy>
  <cp:revision>8</cp:revision>
  <cp:lastPrinted>2024-09-17T07:35:00Z</cp:lastPrinted>
  <dcterms:created xsi:type="dcterms:W3CDTF">2024-09-05T02:21:00Z</dcterms:created>
  <dcterms:modified xsi:type="dcterms:W3CDTF">2024-09-17T07:36:00Z</dcterms:modified>
</cp:coreProperties>
</file>